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eastAsia="ja-JP"/>
        </w:rPr>
      </w:pPr>
      <w:r>
        <w:rPr>
          <w:rFonts w:ascii="Arial" w:hAnsi="Arial" w:cs="Arial"/>
          <w:b/>
          <w:bCs/>
          <w:sz w:val="24"/>
          <w:szCs w:val="24"/>
          <w:lang w:eastAsia="ja-JP"/>
        </w:rPr>
        <w:t xml:space="preserve">3GPP TSG-RAN WG4 Meeting # 112 </w:t>
      </w:r>
      <w:r>
        <w:tab/>
      </w:r>
      <w:r>
        <w:rPr>
          <w:rFonts w:ascii="Arial" w:hAnsi="Arial" w:cs="Arial"/>
          <w:b/>
          <w:bCs/>
          <w:sz w:val="24"/>
          <w:szCs w:val="24"/>
          <w:lang w:eastAsia="ja-JP"/>
        </w:rPr>
        <w:t xml:space="preserve">    R4-</w:t>
      </w:r>
      <w:bookmarkStart w:id="0" w:name="_GoBack"/>
      <w:r>
        <w:rPr>
          <w:rFonts w:ascii="Arial" w:hAnsi="Arial" w:cs="Arial"/>
          <w:b/>
          <w:bCs/>
          <w:sz w:val="24"/>
          <w:szCs w:val="24"/>
          <w:highlight w:val="none"/>
          <w:lang w:eastAsia="ja-JP"/>
        </w:rPr>
        <w:t>24</w:t>
      </w:r>
      <w:r>
        <w:rPr>
          <w:rFonts w:hint="default" w:ascii="Arial" w:hAnsi="Arial" w:cs="Arial"/>
          <w:b/>
          <w:bCs/>
          <w:sz w:val="24"/>
          <w:szCs w:val="24"/>
          <w:highlight w:val="none"/>
          <w:lang w:val="sv-SE" w:eastAsia="ja-JP"/>
        </w:rPr>
        <w:t>12687</w:t>
      </w:r>
      <w:bookmarkEnd w:id="0"/>
    </w:p>
    <w:p>
      <w:pPr>
        <w:widowControl w:val="0"/>
        <w:tabs>
          <w:tab w:val="right" w:pos="9356"/>
          <w:tab w:val="right" w:pos="10206"/>
        </w:tabs>
        <w:overflowPunct w:val="0"/>
        <w:autoSpaceDE w:val="0"/>
        <w:autoSpaceDN w:val="0"/>
        <w:adjustRightInd w:val="0"/>
        <w:spacing w:after="0"/>
        <w:textAlignment w:val="baseline"/>
        <w:rPr>
          <w:rFonts w:ascii="Arial" w:hAnsi="Arial" w:cs="Arial"/>
          <w:b/>
          <w:sz w:val="24"/>
          <w:highlight w:val="yellow"/>
          <w:lang w:eastAsia="ja-JP"/>
        </w:rPr>
      </w:pPr>
      <w:r>
        <w:rPr>
          <w:rFonts w:ascii="Arial" w:hAnsi="Arial" w:cs="Arial"/>
          <w:b/>
          <w:bCs/>
          <w:sz w:val="24"/>
          <w:szCs w:val="24"/>
          <w:lang w:eastAsia="ja-JP"/>
        </w:rPr>
        <w:t>Maa</w:t>
      </w:r>
      <w:r>
        <w:rPr>
          <w:rFonts w:ascii="Arial" w:hAnsi="Arial" w:cs="Arial"/>
          <w:b/>
          <w:bCs/>
          <w:sz w:val="24"/>
          <w:szCs w:val="24"/>
          <w:lang w:val="en-US" w:eastAsia="ja-JP"/>
        </w:rPr>
        <w:t>s</w:t>
      </w:r>
      <w:r>
        <w:rPr>
          <w:rFonts w:ascii="Arial" w:hAnsi="Arial" w:cs="Arial"/>
          <w:b/>
          <w:bCs/>
          <w:sz w:val="24"/>
          <w:szCs w:val="24"/>
          <w:lang w:eastAsia="ja-JP"/>
        </w:rPr>
        <w:t>tricht, NL, 19</w:t>
      </w:r>
      <w:r>
        <w:rPr>
          <w:rFonts w:ascii="Arial" w:hAnsi="Arial" w:cs="Arial"/>
          <w:b/>
          <w:bCs/>
          <w:sz w:val="24"/>
          <w:szCs w:val="24"/>
          <w:lang w:val="en-US" w:eastAsia="ja-JP"/>
        </w:rPr>
        <w:t xml:space="preserve"> </w:t>
      </w:r>
      <w:r>
        <w:rPr>
          <w:rFonts w:ascii="Arial" w:hAnsi="Arial" w:cs="Arial"/>
          <w:b/>
          <w:bCs/>
          <w:sz w:val="24"/>
          <w:szCs w:val="24"/>
          <w:lang w:eastAsia="ja-JP"/>
        </w:rPr>
        <w:t>– 23 August 2024</w:t>
      </w:r>
    </w:p>
    <w:p>
      <w:pPr>
        <w:tabs>
          <w:tab w:val="left" w:pos="1985"/>
        </w:tabs>
        <w:spacing w:after="120"/>
        <w:rPr>
          <w:rFonts w:ascii="Arial" w:hAnsi="Arial" w:eastAsia="MS Mincho" w:cs="Arial"/>
          <w:b/>
          <w:bCs/>
          <w:sz w:val="24"/>
          <w:highlight w:val="yellow"/>
        </w:rPr>
      </w:pPr>
    </w:p>
    <w:p>
      <w:pPr>
        <w:tabs>
          <w:tab w:val="left" w:pos="1985"/>
        </w:tabs>
        <w:spacing w:after="120"/>
        <w:rPr>
          <w:rFonts w:ascii="Arial" w:hAnsi="Arial" w:eastAsia="MS Mincho" w:cs="Arial"/>
          <w:b/>
          <w:bCs/>
          <w:sz w:val="24"/>
          <w:lang w:val="en-US"/>
        </w:rPr>
      </w:pPr>
      <w:r>
        <w:rPr>
          <w:rFonts w:ascii="Arial" w:hAnsi="Arial" w:eastAsia="MS Mincho" w:cs="Arial"/>
          <w:b/>
          <w:bCs/>
          <w:sz w:val="24"/>
          <w:lang w:val="en-US"/>
        </w:rPr>
        <w:t>Agenda Item:</w:t>
      </w:r>
      <w:r>
        <w:rPr>
          <w:rFonts w:ascii="Arial" w:hAnsi="Arial" w:eastAsia="MS Mincho" w:cs="Arial"/>
          <w:b/>
          <w:bCs/>
          <w:sz w:val="24"/>
          <w:lang w:val="en-US"/>
        </w:rPr>
        <w:tab/>
      </w:r>
      <w:r>
        <w:rPr>
          <w:rFonts w:ascii="Arial" w:hAnsi="Arial" w:eastAsia="MS Mincho" w:cs="Arial"/>
          <w:b/>
          <w:bCs/>
          <w:sz w:val="24"/>
          <w:lang w:val="en-US"/>
        </w:rPr>
        <w:t>6.1.2.4</w:t>
      </w:r>
    </w:p>
    <w:p>
      <w:pPr>
        <w:tabs>
          <w:tab w:val="left" w:pos="1985"/>
        </w:tabs>
        <w:spacing w:after="120"/>
        <w:rPr>
          <w:rFonts w:ascii="Arial" w:hAnsi="Arial" w:eastAsia="MS Mincho" w:cs="Arial"/>
          <w:b/>
          <w:bCs/>
          <w:sz w:val="24"/>
        </w:rPr>
      </w:pPr>
      <w:r>
        <w:rPr>
          <w:rFonts w:ascii="Arial" w:hAnsi="Arial" w:eastAsia="MS Mincho" w:cs="Arial"/>
          <w:b/>
          <w:bCs/>
          <w:sz w:val="24"/>
        </w:rPr>
        <w:t xml:space="preserve">Source: </w:t>
      </w:r>
      <w:r>
        <w:rPr>
          <w:rFonts w:ascii="Arial" w:hAnsi="Arial" w:eastAsia="MS Mincho" w:cs="Arial"/>
          <w:b/>
          <w:bCs/>
          <w:sz w:val="24"/>
        </w:rPr>
        <w:tab/>
      </w:r>
      <w:r>
        <w:rPr>
          <w:rFonts w:ascii="Arial" w:hAnsi="Arial" w:eastAsia="MS Mincho" w:cs="Arial"/>
          <w:b/>
          <w:bCs/>
          <w:sz w:val="24"/>
        </w:rPr>
        <w:t>Ericsson</w:t>
      </w:r>
    </w:p>
    <w:p>
      <w:pPr>
        <w:tabs>
          <w:tab w:val="left" w:pos="1985"/>
        </w:tabs>
        <w:spacing w:after="120"/>
        <w:ind w:left="1980" w:hanging="1980"/>
        <w:rPr>
          <w:rFonts w:ascii="Arial" w:hAnsi="Arial" w:eastAsia="MS Mincho" w:cs="Arial"/>
          <w:b/>
          <w:bCs/>
          <w:sz w:val="24"/>
          <w:szCs w:val="24"/>
          <w:lang w:val="en-US"/>
        </w:rPr>
      </w:pPr>
      <w:r>
        <w:rPr>
          <w:rFonts w:ascii="Arial" w:hAnsi="Arial" w:eastAsia="MS Mincho" w:cs="Arial"/>
          <w:b/>
          <w:bCs/>
          <w:sz w:val="24"/>
          <w:szCs w:val="24"/>
        </w:rPr>
        <w:t>Title:</w:t>
      </w:r>
      <w:r>
        <w:tab/>
      </w:r>
      <w:r>
        <w:rPr>
          <w:rFonts w:ascii="Arial" w:hAnsi="Arial" w:eastAsia="MS Mincho" w:cs="Arial"/>
          <w:b/>
          <w:bCs/>
          <w:sz w:val="24"/>
          <w:szCs w:val="24"/>
          <w:lang w:val="en-US"/>
        </w:rPr>
        <w:t>On performance requirement for RedCap positioning</w:t>
      </w:r>
    </w:p>
    <w:p>
      <w:pPr>
        <w:tabs>
          <w:tab w:val="left" w:pos="1985"/>
        </w:tabs>
        <w:spacing w:after="120"/>
        <w:rPr>
          <w:rFonts w:ascii="Arial" w:hAnsi="Arial" w:eastAsia="MS Mincho" w:cs="Arial"/>
          <w:b/>
          <w:bCs/>
          <w:sz w:val="24"/>
        </w:rPr>
      </w:pPr>
      <w:r>
        <w:rPr>
          <w:rFonts w:ascii="Arial" w:hAnsi="Arial" w:eastAsia="MS Mincho" w:cs="Arial"/>
          <w:b/>
          <w:bCs/>
          <w:sz w:val="24"/>
        </w:rPr>
        <w:t>Document for:</w:t>
      </w:r>
      <w:r>
        <w:rPr>
          <w:rFonts w:ascii="Arial" w:hAnsi="Arial" w:eastAsia="MS Mincho" w:cs="Arial"/>
          <w:b/>
          <w:bCs/>
          <w:sz w:val="24"/>
        </w:rPr>
        <w:tab/>
      </w:r>
      <w:r>
        <w:rPr>
          <w:rFonts w:ascii="Arial" w:hAnsi="Arial" w:eastAsia="MS Mincho" w:cs="Arial"/>
          <w:b/>
          <w:bCs/>
          <w:sz w:val="24"/>
        </w:rPr>
        <w:t>Discussion</w:t>
      </w:r>
    </w:p>
    <w:p>
      <w:pPr>
        <w:pStyle w:val="2"/>
      </w:pPr>
      <w:r>
        <w:t>Introduction</w:t>
      </w:r>
    </w:p>
    <w:p>
      <w:pPr>
        <w:rPr>
          <w:lang w:eastAsia="zh-CN"/>
        </w:rPr>
      </w:pPr>
      <w:r>
        <w:rPr>
          <w:lang w:val="en-US" w:eastAsia="zh-CN"/>
        </w:rPr>
        <w:t>The agreements reached in the last meeting addresses some key issues related to the performance requirements for RedCap positioning [1]. Some issues are however still open and are further discussed in this contribution</w:t>
      </w:r>
      <w:r>
        <w:rPr>
          <w:lang w:eastAsia="zh-CN"/>
        </w:rPr>
        <w:t>.</w:t>
      </w:r>
    </w:p>
    <w:p>
      <w:pPr>
        <w:pStyle w:val="2"/>
      </w:pPr>
      <w:r>
        <w:t>Discussion</w:t>
      </w:r>
    </w:p>
    <w:p>
      <w:pPr>
        <w:spacing w:after="120"/>
        <w:rPr>
          <w:b/>
          <w:bCs/>
          <w:u w:val="single"/>
          <w:lang w:val="en-US"/>
        </w:rPr>
      </w:pPr>
      <w:r>
        <w:rPr>
          <w:lang w:val="en-US" w:eastAsia="zh-CN"/>
        </w:rPr>
        <w:t>In the last meeting, bandwidth configuration for accuracy requirement for positioning measurement with Rx FH was discussed. The discussion concluded by reaching to the agreement below [1].</w:t>
      </w:r>
    </w:p>
    <w:p>
      <w:pPr>
        <w:spacing w:after="120"/>
        <w:rPr>
          <w:lang w:val="en-US"/>
        </w:rPr>
      </w:pPr>
      <w:r>
        <w:rPr>
          <w:b/>
          <w:bCs/>
          <w:i/>
          <w:iCs/>
          <w:u w:val="single"/>
        </w:rPr>
        <w:t>Agreement</w:t>
      </w:r>
      <w:r>
        <w:rPr>
          <w:b/>
          <w:bCs/>
          <w:i/>
          <w:iCs/>
          <w:u w:val="single"/>
          <w:lang w:val="en-US"/>
        </w:rPr>
        <w:t xml:space="preserve"> from RAN4#111 [1]</w:t>
      </w:r>
      <w:r>
        <w:t>:</w:t>
      </w:r>
    </w:p>
    <w:p>
      <w:pPr>
        <w:pStyle w:val="48"/>
        <w:widowControl w:val="0"/>
        <w:numPr>
          <w:ilvl w:val="0"/>
          <w:numId w:val="4"/>
        </w:numPr>
        <w:snapToGrid w:val="0"/>
        <w:spacing w:before="120" w:beforeLines="50" w:after="120" w:afterLines="50" w:line="256" w:lineRule="auto"/>
        <w:jc w:val="both"/>
        <w:rPr>
          <w:rFonts w:hint="eastAsia" w:ascii="Times New Roman Italic" w:hAnsi="Times New Roman Italic" w:cs="Times New Roman Italic"/>
          <w:i/>
          <w:iCs/>
        </w:rPr>
      </w:pPr>
      <w:r>
        <w:rPr>
          <w:rFonts w:ascii="Times New Roman Italic" w:hAnsi="Times New Roman Italic" w:cs="Times New Roman Italic"/>
          <w:i/>
          <w:iCs/>
        </w:rPr>
        <w:t>Define accuracy requirements for FH case based on at least following BW groups:</w:t>
      </w:r>
    </w:p>
    <w:p>
      <w:pPr>
        <w:widowControl w:val="0"/>
        <w:overflowPunct w:val="0"/>
        <w:autoSpaceDE w:val="0"/>
        <w:autoSpaceDN w:val="0"/>
        <w:adjustRightInd w:val="0"/>
        <w:snapToGrid w:val="0"/>
        <w:spacing w:before="120" w:beforeLines="50" w:after="120" w:afterLines="50"/>
        <w:ind w:left="284"/>
        <w:textAlignment w:val="baseline"/>
        <w:rPr>
          <w:rFonts w:hint="eastAsia" w:ascii="Times New Roman Italic" w:hAnsi="Times New Roman Italic" w:cs="Times New Roman Italic"/>
          <w:i/>
          <w:iCs/>
          <w:lang w:val="sv-SE"/>
        </w:rPr>
      </w:pPr>
      <w:r>
        <w:rPr>
          <w:rFonts w:ascii="Times New Roman Italic" w:hAnsi="Times New Roman Italic" w:cs="Times New Roman Italic"/>
          <w:i/>
          <w:iCs/>
          <w:lang w:val="sv-SE"/>
        </w:rPr>
        <w:t>-</w:t>
      </w:r>
      <w:r>
        <w:rPr>
          <w:rFonts w:ascii="Times New Roman Italic" w:hAnsi="Times New Roman Italic" w:cs="Times New Roman Italic"/>
          <w:i/>
          <w:iCs/>
          <w:lang w:val="sv-SE"/>
        </w:rPr>
        <w:tab/>
      </w:r>
      <w:r>
        <w:rPr>
          <w:rFonts w:ascii="Times New Roman Italic" w:hAnsi="Times New Roman Italic" w:cs="Times New Roman Italic"/>
          <w:i/>
          <w:iCs/>
          <w:lang w:val="sv-SE"/>
        </w:rPr>
        <w:t>15kHz: per-hop BW ≥ 52 RB, min total BW = [268] RB</w:t>
      </w:r>
    </w:p>
    <w:p>
      <w:pPr>
        <w:widowControl w:val="0"/>
        <w:overflowPunct w:val="0"/>
        <w:autoSpaceDE w:val="0"/>
        <w:autoSpaceDN w:val="0"/>
        <w:adjustRightInd w:val="0"/>
        <w:snapToGrid w:val="0"/>
        <w:spacing w:before="120" w:beforeLines="50" w:after="120" w:afterLines="50"/>
        <w:ind w:left="284"/>
        <w:textAlignment w:val="baseline"/>
        <w:rPr>
          <w:rFonts w:hint="eastAsia" w:ascii="Times New Roman Italic" w:hAnsi="Times New Roman Italic" w:cs="Times New Roman Italic"/>
          <w:i/>
          <w:iCs/>
          <w:lang w:val="sv-SE"/>
        </w:rPr>
      </w:pPr>
      <w:r>
        <w:rPr>
          <w:rFonts w:ascii="Times New Roman Italic" w:hAnsi="Times New Roman Italic" w:cs="Times New Roman Italic"/>
          <w:i/>
          <w:iCs/>
          <w:lang w:val="sv-SE"/>
        </w:rPr>
        <w:t>-</w:t>
      </w:r>
      <w:r>
        <w:rPr>
          <w:rFonts w:ascii="Times New Roman Italic" w:hAnsi="Times New Roman Italic" w:cs="Times New Roman Italic"/>
          <w:i/>
          <w:iCs/>
          <w:lang w:val="sv-SE"/>
        </w:rPr>
        <w:tab/>
      </w:r>
      <w:r>
        <w:rPr>
          <w:rFonts w:ascii="Times New Roman Italic" w:hAnsi="Times New Roman Italic" w:cs="Times New Roman Italic"/>
          <w:i/>
          <w:iCs/>
          <w:lang w:val="sv-SE"/>
        </w:rPr>
        <w:t>30kHz: per-hop BW ≥ 52 RB, min total BW = [272] RB</w:t>
      </w:r>
    </w:p>
    <w:p>
      <w:pPr>
        <w:widowControl w:val="0"/>
        <w:overflowPunct w:val="0"/>
        <w:autoSpaceDE w:val="0"/>
        <w:autoSpaceDN w:val="0"/>
        <w:adjustRightInd w:val="0"/>
        <w:snapToGrid w:val="0"/>
        <w:spacing w:before="120" w:beforeLines="50" w:after="120" w:afterLines="50"/>
        <w:ind w:left="284"/>
        <w:textAlignment w:val="baseline"/>
        <w:rPr>
          <w:rFonts w:hint="eastAsia" w:ascii="Times New Roman Italic" w:hAnsi="Times New Roman Italic" w:cs="Times New Roman Italic"/>
          <w:i/>
          <w:iCs/>
          <w:lang w:val="sv-SE"/>
        </w:rPr>
      </w:pPr>
      <w:r>
        <w:rPr>
          <w:rFonts w:ascii="Times New Roman Italic" w:hAnsi="Times New Roman Italic" w:cs="Times New Roman Italic"/>
          <w:i/>
          <w:iCs/>
          <w:lang w:val="sv-SE"/>
        </w:rPr>
        <w:t>-</w:t>
      </w:r>
      <w:r>
        <w:rPr>
          <w:rFonts w:ascii="Times New Roman Italic" w:hAnsi="Times New Roman Italic" w:cs="Times New Roman Italic"/>
          <w:i/>
          <w:iCs/>
          <w:lang w:val="sv-SE"/>
        </w:rPr>
        <w:tab/>
      </w:r>
      <w:r>
        <w:rPr>
          <w:rFonts w:ascii="Times New Roman Italic" w:hAnsi="Times New Roman Italic" w:cs="Times New Roman Italic"/>
          <w:i/>
          <w:iCs/>
          <w:lang w:val="sv-SE"/>
        </w:rPr>
        <w:t>60kHz (FR1): per-hop BW ≥ 24 RB, min total BW = [132] RB</w:t>
      </w:r>
    </w:p>
    <w:p>
      <w:pPr>
        <w:widowControl w:val="0"/>
        <w:overflowPunct w:val="0"/>
        <w:autoSpaceDE w:val="0"/>
        <w:autoSpaceDN w:val="0"/>
        <w:adjustRightInd w:val="0"/>
        <w:snapToGrid w:val="0"/>
        <w:spacing w:before="120" w:beforeLines="50" w:after="120" w:afterLines="50"/>
        <w:ind w:left="284"/>
        <w:textAlignment w:val="baseline"/>
        <w:rPr>
          <w:rFonts w:hint="eastAsia" w:ascii="Times New Roman Italic" w:hAnsi="Times New Roman Italic" w:cs="Times New Roman Italic"/>
          <w:i/>
          <w:iCs/>
          <w:lang w:val="sv-SE"/>
        </w:rPr>
      </w:pPr>
      <w:r>
        <w:rPr>
          <w:rFonts w:ascii="Times New Roman Italic" w:hAnsi="Times New Roman Italic" w:cs="Times New Roman Italic"/>
          <w:i/>
          <w:iCs/>
          <w:lang w:val="sv-SE"/>
        </w:rPr>
        <w:t>-</w:t>
      </w:r>
      <w:r>
        <w:rPr>
          <w:rFonts w:ascii="Times New Roman Italic" w:hAnsi="Times New Roman Italic" w:cs="Times New Roman Italic"/>
          <w:i/>
          <w:iCs/>
          <w:lang w:val="sv-SE"/>
        </w:rPr>
        <w:tab/>
      </w:r>
      <w:r>
        <w:rPr>
          <w:rFonts w:ascii="Times New Roman Italic" w:hAnsi="Times New Roman Italic" w:cs="Times New Roman Italic"/>
          <w:i/>
          <w:iCs/>
          <w:lang w:val="sv-SE"/>
        </w:rPr>
        <w:t>60kHz (FR2): per-hop BW ≥ 68 RB, min total BW = [264] RB</w:t>
      </w:r>
    </w:p>
    <w:p>
      <w:pPr>
        <w:widowControl w:val="0"/>
        <w:overflowPunct w:val="0"/>
        <w:autoSpaceDE w:val="0"/>
        <w:autoSpaceDN w:val="0"/>
        <w:adjustRightInd w:val="0"/>
        <w:snapToGrid w:val="0"/>
        <w:spacing w:before="120" w:beforeLines="50" w:after="120" w:afterLines="50"/>
        <w:ind w:left="284"/>
        <w:textAlignment w:val="baseline"/>
        <w:rPr>
          <w:rFonts w:hint="eastAsia" w:ascii="Times New Roman Italic" w:hAnsi="Times New Roman Italic" w:cs="Times New Roman Italic"/>
          <w:i/>
          <w:iCs/>
          <w:lang w:val="sv-SE"/>
        </w:rPr>
      </w:pPr>
      <w:r>
        <w:rPr>
          <w:rFonts w:ascii="Times New Roman Italic" w:hAnsi="Times New Roman Italic" w:cs="Times New Roman Italic"/>
          <w:i/>
          <w:iCs/>
          <w:lang w:val="sv-SE"/>
        </w:rPr>
        <w:t>-</w:t>
      </w:r>
      <w:r>
        <w:rPr>
          <w:rFonts w:ascii="Times New Roman Italic" w:hAnsi="Times New Roman Italic" w:cs="Times New Roman Italic"/>
          <w:i/>
          <w:iCs/>
          <w:lang w:val="sv-SE"/>
        </w:rPr>
        <w:tab/>
      </w:r>
      <w:r>
        <w:rPr>
          <w:rFonts w:ascii="Times New Roman Italic" w:hAnsi="Times New Roman Italic" w:cs="Times New Roman Italic"/>
          <w:i/>
          <w:iCs/>
          <w:lang w:val="sv-SE"/>
        </w:rPr>
        <w:t>120kHz: per-hop BW ≥ 68 RB, min total BW = [264] RB</w:t>
      </w:r>
    </w:p>
    <w:p>
      <w:pPr>
        <w:pStyle w:val="48"/>
        <w:numPr>
          <w:ilvl w:val="0"/>
          <w:numId w:val="4"/>
        </w:numPr>
        <w:spacing w:before="100" w:beforeAutospacing="1" w:after="120" w:line="256" w:lineRule="auto"/>
        <w:rPr>
          <w:rFonts w:hint="eastAsia" w:ascii="Times New Roman Italic" w:hAnsi="Times New Roman Italic" w:cs="Times New Roman Italic"/>
          <w:i/>
          <w:iCs/>
        </w:rPr>
      </w:pPr>
      <w:r>
        <w:rPr>
          <w:rFonts w:ascii="Times New Roman Italic" w:hAnsi="Times New Roman Italic" w:cs="Times New Roman Italic"/>
          <w:i/>
          <w:iCs/>
        </w:rPr>
        <w:t>FFS: additional BW configurations for accuracy requirements, e.g., smaller total BW.</w:t>
      </w:r>
    </w:p>
    <w:p>
      <w:pPr>
        <w:spacing w:after="120"/>
        <w:rPr>
          <w:rFonts w:hint="eastAsia" w:ascii="Times New Roman Italic" w:hAnsi="Times New Roman Italic" w:cs="Times New Roman Italic"/>
          <w:i/>
          <w:iCs/>
        </w:rPr>
      </w:pPr>
      <w:r>
        <w:rPr>
          <w:rFonts w:ascii="Times New Roman Italic" w:hAnsi="Times New Roman Italic" w:cs="Times New Roman Italic"/>
          <w:i/>
          <w:iCs/>
        </w:rPr>
        <w:t>Note: per-hop BW is to be converted in the accuracy requirements to BW in MHz and aligned with RAN2 signaling.</w:t>
      </w:r>
    </w:p>
    <w:p>
      <w:pPr>
        <w:pStyle w:val="48"/>
        <w:numPr>
          <w:ilvl w:val="0"/>
          <w:numId w:val="4"/>
        </w:numPr>
        <w:spacing w:before="100" w:beforeAutospacing="1" w:after="120" w:line="256" w:lineRule="auto"/>
        <w:rPr>
          <w:rFonts w:hint="eastAsia" w:ascii="Times New Roman Italic" w:hAnsi="Times New Roman Italic" w:cs="Times New Roman Italic"/>
          <w:i/>
          <w:iCs/>
        </w:rPr>
      </w:pPr>
      <w:r>
        <w:rPr>
          <w:rFonts w:ascii="Times New Roman Italic" w:hAnsi="Times New Roman Italic" w:cs="Times New Roman Italic"/>
          <w:i/>
          <w:iCs/>
        </w:rPr>
        <w:t xml:space="preserve">For accuracy requirements for FH case, derive accuracy numbers from simulation results. </w:t>
      </w:r>
    </w:p>
    <w:p>
      <w:pPr>
        <w:pStyle w:val="48"/>
        <w:numPr>
          <w:ilvl w:val="0"/>
          <w:numId w:val="4"/>
        </w:numPr>
        <w:overflowPunct w:val="0"/>
        <w:autoSpaceDE w:val="0"/>
        <w:autoSpaceDN w:val="0"/>
        <w:adjustRightInd w:val="0"/>
        <w:spacing w:before="100" w:beforeAutospacing="1" w:after="120" w:line="256" w:lineRule="auto"/>
        <w:textAlignment w:val="baseline"/>
        <w:rPr>
          <w:rFonts w:hint="eastAsia" w:ascii="Times New Roman Italic" w:hAnsi="Times New Roman Italic" w:cs="Times New Roman Italic"/>
          <w:i/>
          <w:iCs/>
        </w:rPr>
      </w:pPr>
      <w:r>
        <w:rPr>
          <w:rFonts w:ascii="Times New Roman Italic" w:hAnsi="Times New Roman Italic" w:cs="Times New Roman Italic"/>
          <w:i/>
          <w:iCs/>
        </w:rPr>
        <w:t>The requirements apply, provided that the BW</w:t>
      </w:r>
      <w:r>
        <w:rPr>
          <w:rFonts w:ascii="Times New Roman Italic" w:hAnsi="Times New Roman Italic" w:cs="Times New Roman Italic"/>
          <w:i/>
          <w:iCs/>
          <w:vertAlign w:val="subscript"/>
        </w:rPr>
        <w:t>total</w:t>
      </w:r>
      <w:r>
        <w:rPr>
          <w:rFonts w:ascii="Times New Roman Italic" w:hAnsi="Times New Roman Italic" w:cs="Times New Roman Italic"/>
          <w:i/>
          <w:iCs/>
        </w:rPr>
        <w:t xml:space="preserve"> defined in clause core requirements is no less than the total BW above.</w:t>
      </w:r>
    </w:p>
    <w:p>
      <w:pPr>
        <w:rPr>
          <w:lang w:val="en-US"/>
        </w:rPr>
      </w:pPr>
      <w:r>
        <w:rPr>
          <w:lang w:val="en-US"/>
        </w:rPr>
        <w:br w:type="textWrapping"/>
      </w:r>
      <w:r>
        <w:rPr>
          <w:lang w:val="en-US"/>
        </w:rPr>
        <w:t xml:space="preserve">Per-hop BW agreed in the last meeting for 30 kHz in FR1, 60 kHz and 120 kHz in FR2 needs to be updated to comply with the maximum BW supported for these SCSs according to the 38.101 specifications. Per-hop BW for 30 kHz SCS in FR1 should be revised to 48 RB because the maximum possible BW for 30 kHz SCS is 51 RB. And per-hop BW for 60 kHz and 120 kHz in FR2 should be revised to 64 RB because the maximum possible BW for these SCSs is 66 RB. The agreement relating to the total BW after all hops also needs to be updated. The total BW after all hops cannot be larger than 50 MHz and 100 MHz for SCSs 15 kHz and 30/60 kHz, respectively, in FR1. Therefore, the accuracy requirement for Rx FH should be defined for the </w:t>
      </w:r>
      <w:r>
        <w:rPr>
          <w:rFonts w:ascii="Times New Roman Italic" w:hAnsi="Times New Roman Italic" w:cs="Times New Roman Italic"/>
          <w:i/>
          <w:iCs/>
          <w:lang w:val="en-US"/>
        </w:rPr>
        <w:t>total BW after all hops</w:t>
      </w:r>
      <w:r>
        <w:rPr>
          <w:lang w:val="en-US"/>
        </w:rPr>
        <w:t xml:space="preserve"> instead of </w:t>
      </w:r>
      <w:r>
        <w:rPr>
          <w:rFonts w:ascii="Times New Roman Italic" w:hAnsi="Times New Roman Italic" w:cs="Times New Roman Italic"/>
          <w:i/>
          <w:iCs/>
          <w:lang w:val="en-US"/>
        </w:rPr>
        <w:t>minimum total BW after all hops</w:t>
      </w:r>
      <w:r>
        <w:rPr>
          <w:lang w:val="en-US"/>
        </w:rPr>
        <w:t xml:space="preserve"> so that the total BW after all hops does not exceed the maximum BW for the corresponding SCSs specified in 38.101 specifications.  </w:t>
      </w:r>
    </w:p>
    <w:p>
      <w:pPr>
        <w:rPr>
          <w:rFonts w:hint="eastAsia" w:ascii="Times New Roman Bold" w:hAnsi="Times New Roman Bold" w:cs="Times New Roman Bold"/>
          <w:lang w:val="en-US"/>
        </w:rPr>
      </w:pPr>
      <w:r>
        <w:rPr>
          <w:rFonts w:ascii="Times New Roman Bold" w:hAnsi="Times New Roman Bold" w:cs="Times New Roman Bold"/>
          <w:lang w:val="en-US"/>
        </w:rPr>
        <w:t>A</w:t>
      </w:r>
      <w:r>
        <w:rPr>
          <w:rFonts w:ascii="Times New Roman Bold" w:hAnsi="Times New Roman Bold" w:cs="Times New Roman Bold"/>
        </w:rPr>
        <w:t>dditional BW configurations for accuracy requirements, e.g., smaller total BW</w:t>
      </w:r>
      <w:r>
        <w:rPr>
          <w:rFonts w:ascii="Times New Roman Bold" w:hAnsi="Times New Roman Bold" w:cs="Times New Roman Bold"/>
          <w:lang w:val="en-US"/>
        </w:rPr>
        <w:t>, were identified FFS in the last meeting. To define the accuracy requirements for the additional BW groups will require a new simulation campaign as the agreed simulation assumptions for RedCap positioning with Rx FH did not consider BW groups other than the ones listed in the proposal below [2]. Since this is the last meeting where RAN4 is expected to complete the performance part of the Release 18 WI, in our view, it is late to consider additional BW groups for accuracy requirements.</w:t>
      </w:r>
    </w:p>
    <w:p>
      <w:pPr>
        <w:rPr>
          <w:lang w:val="en-US"/>
        </w:rPr>
      </w:pPr>
      <w:r>
        <w:rPr>
          <w:lang w:val="en-US"/>
        </w:rPr>
        <w:t>For RedCap positioning, the total BW after all hops is larger than the PRS BW considered for the accuracy requirements of RSTD and UE Rx-Tx measurements performed by UE capable of performing measurements on PRS resources up to 100 MHz in FR1 and 400 MHz in FR2 without Rx FH. In this regard, and in line with the agreement reached in the last meeting, further discussion on BW configurations for which the accuracy requirements can be same for the scenario where the total PRS BW after all hops is equal to the PRS BW without Rx FH is not necessary.</w:t>
      </w:r>
      <w:r>
        <w:rPr>
          <w:lang w:val="en-US"/>
        </w:rPr>
        <w:br w:type="textWrapping"/>
      </w:r>
    </w:p>
    <w:p>
      <w:pPr>
        <w:spacing w:before="120" w:beforeLines="50" w:after="120" w:afterLines="50"/>
      </w:pPr>
      <w:r>
        <w:rPr>
          <w:b/>
          <w:bCs/>
          <w:i/>
          <w:iCs/>
          <w:u w:val="single"/>
        </w:rPr>
        <w:t>Agreement</w:t>
      </w:r>
      <w:r>
        <w:rPr>
          <w:b/>
          <w:bCs/>
          <w:i/>
          <w:iCs/>
          <w:u w:val="single"/>
          <w:lang w:val="sv-SE"/>
        </w:rPr>
        <w:t xml:space="preserve"> from RAN4#111 [1]</w:t>
      </w:r>
      <w:r>
        <w:t>:</w:t>
      </w:r>
    </w:p>
    <w:p>
      <w:pPr>
        <w:pStyle w:val="48"/>
        <w:numPr>
          <w:ilvl w:val="0"/>
          <w:numId w:val="5"/>
        </w:numPr>
        <w:spacing w:before="120" w:beforeLines="50" w:after="120" w:afterLines="50" w:line="256" w:lineRule="auto"/>
        <w:rPr>
          <w:rFonts w:hint="eastAsia" w:ascii="Times New Roman Italic" w:hAnsi="Times New Roman Italic" w:cs="Times New Roman Italic"/>
          <w:i/>
          <w:iCs/>
        </w:rPr>
      </w:pPr>
      <w:r>
        <w:rPr>
          <w:rFonts w:ascii="Times New Roman Italic" w:hAnsi="Times New Roman Italic" w:cs="Times New Roman Italic"/>
          <w:i/>
          <w:iCs/>
        </w:rPr>
        <w:t>Accuracy requirements are different from the legacy (more accurate than legacy) for the cases with and without Rx FH for the scenario where the total PRS BW after all hops is larger than the PRS BW without Rx FH.</w:t>
      </w:r>
    </w:p>
    <w:p>
      <w:pPr>
        <w:pStyle w:val="48"/>
        <w:numPr>
          <w:ilvl w:val="0"/>
          <w:numId w:val="5"/>
        </w:numPr>
        <w:spacing w:before="120" w:beforeLines="50" w:after="120" w:afterLines="50" w:line="256" w:lineRule="auto"/>
      </w:pPr>
      <w:r>
        <w:rPr>
          <w:rFonts w:ascii="Times New Roman Italic" w:hAnsi="Times New Roman Italic" w:cs="Times New Roman Italic"/>
          <w:i/>
          <w:iCs/>
        </w:rPr>
        <w:t>FFS: With some BW configurations, accuracy requirements can be same as legacy for the cases with and without Rx FH for the scenario where the total PRS BW after all hops is equal to the PRS BW without Rx FH, if such exist</w:t>
      </w:r>
      <w:r>
        <w:t>.</w:t>
      </w:r>
    </w:p>
    <w:p>
      <w:pPr>
        <w:rPr>
          <w:lang w:val="en-US"/>
        </w:rPr>
      </w:pPr>
    </w:p>
    <w:p>
      <w:pPr>
        <w:pStyle w:val="56"/>
        <w:rPr>
          <w:lang w:val="en-US"/>
        </w:rPr>
      </w:pPr>
      <w:r>
        <w:rPr>
          <w:lang w:val="en-US"/>
        </w:rPr>
        <w:t>RAN4#111 agreement on per-hop BW and the total BW for RedCap positioning with Rx FH is revised and the accuracy requirements for Rx FH case are defined only for the following BW groups:</w:t>
      </w:r>
    </w:p>
    <w:p>
      <w:pPr>
        <w:numPr>
          <w:ilvl w:val="0"/>
          <w:numId w:val="6"/>
        </w:numPr>
        <w:overflowPunct w:val="0"/>
        <w:autoSpaceDE w:val="0"/>
        <w:autoSpaceDN w:val="0"/>
        <w:adjustRightInd w:val="0"/>
        <w:spacing w:after="120"/>
        <w:textAlignment w:val="baseline"/>
        <w:rPr>
          <w:lang w:val="sv-SE"/>
        </w:rPr>
      </w:pPr>
      <w:r>
        <w:rPr>
          <w:lang w:val="sv-SE"/>
        </w:rPr>
        <w:t>15 kHz: per-hop BW ≤ 52 RB, total BW = 268 RB</w:t>
      </w:r>
    </w:p>
    <w:p>
      <w:pPr>
        <w:numPr>
          <w:ilvl w:val="0"/>
          <w:numId w:val="6"/>
        </w:numPr>
        <w:overflowPunct w:val="0"/>
        <w:autoSpaceDE w:val="0"/>
        <w:autoSpaceDN w:val="0"/>
        <w:adjustRightInd w:val="0"/>
        <w:spacing w:after="120"/>
        <w:textAlignment w:val="baseline"/>
        <w:rPr>
          <w:lang w:val="sv-SE"/>
        </w:rPr>
      </w:pPr>
      <w:r>
        <w:rPr>
          <w:lang w:val="sv-SE"/>
        </w:rPr>
        <w:t>30 kHz: per-hop BW ≤ 48 RB, total BW = 272 RB</w:t>
      </w:r>
    </w:p>
    <w:p>
      <w:pPr>
        <w:numPr>
          <w:ilvl w:val="0"/>
          <w:numId w:val="6"/>
        </w:numPr>
        <w:overflowPunct w:val="0"/>
        <w:autoSpaceDE w:val="0"/>
        <w:autoSpaceDN w:val="0"/>
        <w:adjustRightInd w:val="0"/>
        <w:spacing w:after="120"/>
        <w:textAlignment w:val="baseline"/>
        <w:rPr>
          <w:lang w:val="sv-SE"/>
        </w:rPr>
      </w:pPr>
      <w:r>
        <w:rPr>
          <w:lang w:val="sv-SE"/>
        </w:rPr>
        <w:t>60 kHz (FR1): per-hop BW ≤ 24 RB, total BW = 132 RB</w:t>
      </w:r>
    </w:p>
    <w:p>
      <w:pPr>
        <w:numPr>
          <w:ilvl w:val="0"/>
          <w:numId w:val="6"/>
        </w:numPr>
        <w:overflowPunct w:val="0"/>
        <w:autoSpaceDE w:val="0"/>
        <w:autoSpaceDN w:val="0"/>
        <w:adjustRightInd w:val="0"/>
        <w:spacing w:after="120"/>
        <w:textAlignment w:val="baseline"/>
        <w:rPr>
          <w:lang w:val="sv-SE"/>
        </w:rPr>
      </w:pPr>
      <w:r>
        <w:rPr>
          <w:lang w:val="sv-SE"/>
        </w:rPr>
        <w:t>60 kHz (FR2): per-hop BW ≤ 64 RB, total BW = 264 RB</w:t>
      </w:r>
    </w:p>
    <w:p>
      <w:pPr>
        <w:numPr>
          <w:ilvl w:val="0"/>
          <w:numId w:val="6"/>
        </w:numPr>
        <w:overflowPunct w:val="0"/>
        <w:autoSpaceDE w:val="0"/>
        <w:autoSpaceDN w:val="0"/>
        <w:adjustRightInd w:val="0"/>
        <w:spacing w:after="120"/>
        <w:textAlignment w:val="baseline"/>
      </w:pPr>
      <w:r>
        <w:rPr>
          <w:lang w:val="sv-SE"/>
        </w:rPr>
        <w:t>120 kHz: per-hop BW ≤ 64 RB, total BW = 264 RB</w:t>
      </w:r>
    </w:p>
    <w:p>
      <w:pPr>
        <w:spacing w:before="120" w:beforeLines="50" w:after="120" w:afterLines="50"/>
        <w:rPr>
          <w:lang w:eastAsia="zh-CN"/>
        </w:rPr>
      </w:pPr>
    </w:p>
    <w:p>
      <w:pPr>
        <w:pStyle w:val="2"/>
      </w:pPr>
      <w:r>
        <w:t>Summary</w:t>
      </w:r>
    </w:p>
    <w:p>
      <w:pPr>
        <w:spacing w:after="120" w:afterLines="50"/>
        <w:rPr>
          <w:lang w:eastAsia="zh-CN"/>
        </w:rPr>
      </w:pPr>
      <w:r>
        <w:rPr>
          <w:lang w:val="en-US" w:eastAsia="zh-CN"/>
        </w:rPr>
        <w:t>In this contribution open issues identified in the last meeting are discussed and the following proposal is made to address them</w:t>
      </w:r>
      <w:r>
        <w:rPr>
          <w:lang w:eastAsia="zh-CN"/>
        </w:rPr>
        <w:t>.</w:t>
      </w:r>
    </w:p>
    <w:p>
      <w:pPr>
        <w:spacing w:after="120" w:afterLines="50"/>
        <w:rPr>
          <w:lang w:eastAsia="zh-CN"/>
        </w:rPr>
      </w:pPr>
    </w:p>
    <w:p>
      <w:pPr>
        <w:pStyle w:val="56"/>
        <w:numPr>
          <w:ilvl w:val="0"/>
          <w:numId w:val="7"/>
        </w:numPr>
        <w:rPr>
          <w:lang w:val="en-US"/>
        </w:rPr>
      </w:pPr>
      <w:r>
        <w:rPr>
          <w:lang w:val="en-US"/>
        </w:rPr>
        <w:t>RAN4#111 agreement on per-hop BW and the total BW for RedCap positioning with Rx FH is revised and the accuracy requirements for Rx FH case are defined only for the following BW groups:</w:t>
      </w:r>
    </w:p>
    <w:p>
      <w:pPr>
        <w:numPr>
          <w:ilvl w:val="0"/>
          <w:numId w:val="6"/>
        </w:numPr>
        <w:overflowPunct w:val="0"/>
        <w:autoSpaceDE w:val="0"/>
        <w:autoSpaceDN w:val="0"/>
        <w:adjustRightInd w:val="0"/>
        <w:spacing w:after="120"/>
        <w:textAlignment w:val="baseline"/>
        <w:rPr>
          <w:lang w:val="sv-SE"/>
        </w:rPr>
      </w:pPr>
      <w:r>
        <w:rPr>
          <w:lang w:val="sv-SE"/>
        </w:rPr>
        <w:t>15 kHz: per-hop BW ≤ 52 RB, total BW = 268 RB</w:t>
      </w:r>
    </w:p>
    <w:p>
      <w:pPr>
        <w:numPr>
          <w:ilvl w:val="0"/>
          <w:numId w:val="6"/>
        </w:numPr>
        <w:overflowPunct w:val="0"/>
        <w:autoSpaceDE w:val="0"/>
        <w:autoSpaceDN w:val="0"/>
        <w:adjustRightInd w:val="0"/>
        <w:spacing w:after="120"/>
        <w:textAlignment w:val="baseline"/>
        <w:rPr>
          <w:lang w:val="sv-SE"/>
        </w:rPr>
      </w:pPr>
      <w:r>
        <w:rPr>
          <w:lang w:val="sv-SE"/>
        </w:rPr>
        <w:t>30 kHz: per-hop BW ≤ 48 RB, total BW = 272 RB</w:t>
      </w:r>
    </w:p>
    <w:p>
      <w:pPr>
        <w:numPr>
          <w:ilvl w:val="0"/>
          <w:numId w:val="6"/>
        </w:numPr>
        <w:overflowPunct w:val="0"/>
        <w:autoSpaceDE w:val="0"/>
        <w:autoSpaceDN w:val="0"/>
        <w:adjustRightInd w:val="0"/>
        <w:spacing w:after="120"/>
        <w:textAlignment w:val="baseline"/>
        <w:rPr>
          <w:lang w:val="sv-SE"/>
        </w:rPr>
      </w:pPr>
      <w:r>
        <w:rPr>
          <w:lang w:val="sv-SE"/>
        </w:rPr>
        <w:t>60 kHz (FR1): per-hop BW ≤ 24 RB, total BW = 132 RB</w:t>
      </w:r>
    </w:p>
    <w:p>
      <w:pPr>
        <w:numPr>
          <w:ilvl w:val="0"/>
          <w:numId w:val="6"/>
        </w:numPr>
        <w:overflowPunct w:val="0"/>
        <w:autoSpaceDE w:val="0"/>
        <w:autoSpaceDN w:val="0"/>
        <w:adjustRightInd w:val="0"/>
        <w:spacing w:after="120"/>
        <w:textAlignment w:val="baseline"/>
        <w:rPr>
          <w:lang w:val="sv-SE"/>
        </w:rPr>
      </w:pPr>
      <w:r>
        <w:rPr>
          <w:lang w:val="sv-SE"/>
        </w:rPr>
        <w:t>60 kHz (FR2): per-hop BW ≤ 64 RB, total BW = 264 RB</w:t>
      </w:r>
    </w:p>
    <w:p>
      <w:pPr>
        <w:numPr>
          <w:ilvl w:val="0"/>
          <w:numId w:val="6"/>
        </w:numPr>
        <w:overflowPunct w:val="0"/>
        <w:autoSpaceDE w:val="0"/>
        <w:autoSpaceDN w:val="0"/>
        <w:adjustRightInd w:val="0"/>
        <w:spacing w:after="120"/>
        <w:textAlignment w:val="baseline"/>
      </w:pPr>
      <w:r>
        <w:rPr>
          <w:lang w:val="sv-SE"/>
        </w:rPr>
        <w:t>120 kHz: per-hop BW ≤ 64 RB, total BW = 264 RB</w:t>
      </w:r>
    </w:p>
    <w:p>
      <w:pPr>
        <w:spacing w:after="120" w:afterLines="50"/>
        <w:rPr>
          <w:lang w:eastAsia="zh-CN"/>
        </w:rPr>
      </w:pPr>
    </w:p>
    <w:p>
      <w:pPr>
        <w:pStyle w:val="2"/>
      </w:pPr>
      <w:r>
        <w:t>References</w:t>
      </w:r>
    </w:p>
    <w:p>
      <w:pPr>
        <w:numPr>
          <w:ilvl w:val="0"/>
          <w:numId w:val="8"/>
        </w:numPr>
        <w:spacing w:after="120" w:afterLines="50"/>
        <w:jc w:val="both"/>
        <w:rPr>
          <w:lang w:eastAsia="zh-CN"/>
        </w:rPr>
      </w:pPr>
      <w:r>
        <w:rPr>
          <w:lang w:eastAsia="zh-CN"/>
        </w:rPr>
        <w:t>R4-2410192, WF on RedCap positioning and PRS/SRS bandwidth aggregation, Ericsson.</w:t>
      </w:r>
    </w:p>
    <w:p>
      <w:pPr>
        <w:numPr>
          <w:ilvl w:val="0"/>
          <w:numId w:val="8"/>
        </w:numPr>
        <w:spacing w:after="120" w:afterLines="50"/>
        <w:jc w:val="both"/>
        <w:rPr>
          <w:lang w:eastAsia="zh-CN"/>
        </w:rPr>
      </w:pPr>
      <w:r>
        <w:rPr>
          <w:lang w:eastAsia="zh-CN"/>
        </w:rPr>
        <w:t>R4-2403471</w:t>
      </w:r>
      <w:r>
        <w:rPr>
          <w:lang w:val="en-US" w:eastAsia="zh-CN"/>
        </w:rPr>
        <w:t>, Updated simulation assumptions for RedCap positioning with Rx FH, Ericsson.</w:t>
      </w:r>
    </w:p>
    <w:sectPr>
      <w:footerReference r:id="rId5" w:type="default"/>
      <w:footnotePr>
        <w:numRestart w:val="eachSect"/>
      </w:footnotePr>
      <w:pgSz w:w="11907" w:h="16840"/>
      <w:pgMar w:top="1440" w:right="1440" w:bottom="1440" w:left="1440" w:header="680" w:footer="567" w:gutter="0"/>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Symbol">
    <w:altName w:val="Kingsoft Sign"/>
    <w:panose1 w:val="05050102010706020507"/>
    <w:charset w:val="02"/>
    <w:family w:val="decorative"/>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Wingdings">
    <w:panose1 w:val="05000000000000000000"/>
    <w:charset w:val="4D"/>
    <w:family w:val="decorative"/>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Times New Roman Italic">
    <w:panose1 w:val="02020603050405020304"/>
    <w:charset w:val="00"/>
    <w:family w:val="auto"/>
    <w:pitch w:val="default"/>
    <w:sig w:usb0="00000000" w:usb1="00000000" w:usb2="00000000" w:usb3="00000000" w:csb0="00000000" w:csb1="00000000"/>
  </w:font>
  <w:font w:name="Times New Roman Bold">
    <w:panose1 w:val="02020603050405020304"/>
    <w:charset w:val="00"/>
    <w:family w:val="auto"/>
    <w:pitch w:val="default"/>
    <w:sig w:usb0="00000000" w:usb1="00000000" w:usb2="00000000" w:usb3="00000000" w:csb0="00000000" w:csb1="00000000"/>
  </w:font>
  <w:font w:name="Hiragino Sans GB">
    <w:panose1 w:val="020B0300000000000000"/>
    <w:charset w:val="86"/>
    <w:family w:val="auto"/>
    <w:pitch w:val="default"/>
    <w:sig w:usb0="00000000" w:usb1="00000000" w:usb2="00000000" w:usb3="00000000" w:csb0="00160000"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00000000" w:usb1="00000000" w:usb2="00000000" w:usb3="00000000" w:csb0="00000000" w:csb1="00000000"/>
  </w:font>
  <w:font w:name="苹方-简">
    <w:panose1 w:val="020B0400000000000000"/>
    <w:charset w:val="86"/>
    <w:family w:val="auto"/>
    <w:pitch w:val="default"/>
    <w:sig w:usb0="00000000" w:usb1="00000000" w:usb2="00000000" w:usb3="00000000" w:csb0="0016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9591332"/>
    </w:sdtPr>
    <w:sdtContent>
      <w:p>
        <w:pPr>
          <w:pStyle w:val="20"/>
          <w:jc w:val="center"/>
        </w:pPr>
        <w:r>
          <w:fldChar w:fldCharType="begin"/>
        </w:r>
        <w:r>
          <w:instrText xml:space="preserve"> PAGE   \* MERGEFORMAT </w:instrText>
        </w:r>
        <w:r>
          <w:fldChar w:fldCharType="separate"/>
        </w:r>
        <w:r>
          <w:t>4</w:t>
        </w:r>
        <w:r>
          <w:fldChar w:fldCharType="end"/>
        </w:r>
      </w:p>
    </w:sdtContent>
  </w:sdt>
  <w:p>
    <w:pPr>
      <w:pStyle w:val="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DCBC81"/>
    <w:multiLevelType w:val="singleLevel"/>
    <w:tmpl w:val="E4DCBC81"/>
    <w:lvl w:ilvl="0" w:tentative="0">
      <w:start w:val="1"/>
      <w:numFmt w:val="bullet"/>
      <w:lvlText w:val=""/>
      <w:lvlJc w:val="left"/>
      <w:pPr>
        <w:tabs>
          <w:tab w:val="left" w:pos="1680"/>
        </w:tabs>
        <w:ind w:left="1680" w:hanging="420"/>
      </w:pPr>
      <w:rPr>
        <w:rFonts w:hint="default" w:ascii="Wingdings" w:hAnsi="Wingdings"/>
        <w:sz w:val="11"/>
        <w:szCs w:val="11"/>
      </w:rPr>
    </w:lvl>
  </w:abstractNum>
  <w:abstractNum w:abstractNumId="1">
    <w:nsid w:val="02D30F68"/>
    <w:multiLevelType w:val="multilevel"/>
    <w:tmpl w:val="02D30F68"/>
    <w:lvl w:ilvl="0" w:tentative="0">
      <w:start w:val="1"/>
      <w:numFmt w:val="decimal"/>
      <w:pStyle w:val="56"/>
      <w:lvlText w:val="Proposal %1:"/>
      <w:lvlJc w:val="left"/>
      <w:pPr>
        <w:ind w:left="0" w:firstLine="0"/>
      </w:pPr>
      <w:rPr>
        <w:rFonts w:hint="default" w:ascii="Times New Roman" w:hAnsi="Times New Roman"/>
        <w:b/>
        <w:bCs/>
        <w:i w:val="0"/>
        <w:sz w:val="22"/>
      </w:rPr>
    </w:lvl>
    <w:lvl w:ilvl="1" w:tentative="0">
      <w:start w:val="1"/>
      <w:numFmt w:val="decimalZero"/>
      <w:isLgl/>
      <w:lvlText w:val="Section %1.%2"/>
      <w:lvlJc w:val="left"/>
      <w:pPr>
        <w:ind w:left="0" w:firstLine="0"/>
      </w:pPr>
      <w:rPr>
        <w:rFonts w:hint="default"/>
      </w:rPr>
    </w:lvl>
    <w:lvl w:ilvl="2" w:tentative="0">
      <w:start w:val="1"/>
      <w:numFmt w:val="lowerLetter"/>
      <w:lvlText w:val="(%3)"/>
      <w:lvlJc w:val="left"/>
      <w:pPr>
        <w:ind w:left="720" w:hanging="432"/>
      </w:pPr>
      <w:rPr>
        <w:rFonts w:hint="default"/>
      </w:rPr>
    </w:lvl>
    <w:lvl w:ilvl="3" w:tentative="0">
      <w:start w:val="1"/>
      <w:numFmt w:val="lowerRoman"/>
      <w:lvlText w:val="(%4)"/>
      <w:lvlJc w:val="right"/>
      <w:pPr>
        <w:ind w:left="864" w:hanging="144"/>
      </w:pPr>
      <w:rPr>
        <w:rFonts w:hint="default"/>
      </w:rPr>
    </w:lvl>
    <w:lvl w:ilvl="4" w:tentative="0">
      <w:start w:val="1"/>
      <w:numFmt w:val="decimal"/>
      <w:lvlText w:val="%5)"/>
      <w:lvlJc w:val="left"/>
      <w:pPr>
        <w:ind w:left="1008" w:hanging="432"/>
      </w:pPr>
      <w:rPr>
        <w:rFonts w:hint="default"/>
      </w:rPr>
    </w:lvl>
    <w:lvl w:ilvl="5" w:tentative="0">
      <w:start w:val="1"/>
      <w:numFmt w:val="lowerLetter"/>
      <w:lvlText w:val="%6)"/>
      <w:lvlJc w:val="left"/>
      <w:pPr>
        <w:ind w:left="1152" w:hanging="432"/>
      </w:pPr>
      <w:rPr>
        <w:rFonts w:hint="default"/>
      </w:rPr>
    </w:lvl>
    <w:lvl w:ilvl="6" w:tentative="0">
      <w:start w:val="1"/>
      <w:numFmt w:val="lowerRoman"/>
      <w:lvlText w:val="%7)"/>
      <w:lvlJc w:val="right"/>
      <w:pPr>
        <w:ind w:left="1296" w:hanging="288"/>
      </w:pPr>
      <w:rPr>
        <w:rFonts w:hint="default"/>
      </w:rPr>
    </w:lvl>
    <w:lvl w:ilvl="7" w:tentative="0">
      <w:start w:val="1"/>
      <w:numFmt w:val="lowerLetter"/>
      <w:lvlText w:val="%8."/>
      <w:lvlJc w:val="left"/>
      <w:pPr>
        <w:ind w:left="1440" w:hanging="432"/>
      </w:pPr>
      <w:rPr>
        <w:rFonts w:hint="default"/>
      </w:rPr>
    </w:lvl>
    <w:lvl w:ilvl="8" w:tentative="0">
      <w:start w:val="1"/>
      <w:numFmt w:val="lowerRoman"/>
      <w:lvlText w:val="%9."/>
      <w:lvlJc w:val="right"/>
      <w:pPr>
        <w:ind w:left="1584" w:hanging="144"/>
      </w:pPr>
      <w:rPr>
        <w:rFonts w:hint="default"/>
      </w:rPr>
    </w:lvl>
  </w:abstractNum>
  <w:abstractNum w:abstractNumId="2">
    <w:nsid w:val="3C246104"/>
    <w:multiLevelType w:val="multilevel"/>
    <w:tmpl w:val="3C24610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0CB7897"/>
    <w:multiLevelType w:val="multilevel"/>
    <w:tmpl w:val="40CB7897"/>
    <w:lvl w:ilvl="0" w:tentative="0">
      <w:start w:val="1"/>
      <w:numFmt w:val="bullet"/>
      <w:lvlText w:val=""/>
      <w:lvlJc w:val="left"/>
      <w:pPr>
        <w:ind w:left="720" w:hanging="360"/>
      </w:pPr>
      <w:rPr>
        <w:rFonts w:hint="default" w:ascii="Symbol" w:hAnsi="Symbol"/>
      </w:rPr>
    </w:lvl>
    <w:lvl w:ilvl="1" w:tentative="0">
      <w:start w:val="1"/>
      <w:numFmt w:val="bullet"/>
      <w:pStyle w:val="48"/>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4">
    <w:nsid w:val="5FED5187"/>
    <w:multiLevelType w:val="multilevel"/>
    <w:tmpl w:val="5FED518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1146"/>
        </w:tabs>
        <w:ind w:left="1146"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7F634AE8"/>
    <w:multiLevelType w:val="multilevel"/>
    <w:tmpl w:val="7F634AE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5"/>
  </w:num>
  <w:num w:numId="2">
    <w:abstractNumId w:val="3"/>
  </w:num>
  <w:num w:numId="3">
    <w:abstractNumId w:val="1"/>
  </w:num>
  <w:num w:numId="4">
    <w:abstractNumId w:val="6"/>
  </w:num>
  <w:num w:numId="5">
    <w:abstractNumId w:val="4"/>
  </w:num>
  <w:num w:numId="6">
    <w:abstractNumId w:val="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1"/>
  <w:bordersDoNotSurroundFooter w:val="1"/>
  <w:documentProtection w:enforcement="0"/>
  <w:defaultTabStop w:val="420"/>
  <w:drawingGridHorizontalSpacing w:val="100"/>
  <w:drawingGridVerticalSpacing w:val="156"/>
  <w:displayHorizontalDrawingGridEvery w:val="0"/>
  <w:displayVerticalDrawingGridEvery w:val="2"/>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3BEE"/>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1C5B"/>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3E42"/>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58C"/>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453"/>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869"/>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879"/>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58D"/>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354"/>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99F"/>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091"/>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511"/>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A2D"/>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984"/>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B0BF4"/>
    <w:rsid w:val="00BB1012"/>
    <w:rsid w:val="00BB222F"/>
    <w:rsid w:val="00BB26BE"/>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AE7"/>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7FE2B7D"/>
    <w:rsid w:val="37FF2BB4"/>
    <w:rsid w:val="39CB47F4"/>
    <w:rsid w:val="3BF377FE"/>
    <w:rsid w:val="3F7FDFF4"/>
    <w:rsid w:val="5DE55980"/>
    <w:rsid w:val="77F71710"/>
    <w:rsid w:val="77FFC81F"/>
    <w:rsid w:val="7F2A423A"/>
    <w:rsid w:val="8F7AF241"/>
    <w:rsid w:val="957B87FF"/>
    <w:rsid w:val="99C70B82"/>
    <w:rsid w:val="B3CA8F7E"/>
    <w:rsid w:val="B5FE5A88"/>
    <w:rsid w:val="B7EDD2DC"/>
    <w:rsid w:val="BAF5A382"/>
    <w:rsid w:val="BD2F6E74"/>
    <w:rsid w:val="BFCEE6BA"/>
    <w:rsid w:val="CFF70A28"/>
    <w:rsid w:val="E3F7A5C0"/>
    <w:rsid w:val="E639BA85"/>
    <w:rsid w:val="EE7F3B99"/>
    <w:rsid w:val="FDEC4075"/>
    <w:rsid w:val="FE96A6DB"/>
    <w:rsid w:val="FFFD7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SimSun" w:cs="Times New Roman"/>
      <w:sz w:val="22"/>
      <w:lang w:val="en-GB" w:eastAsia="en-US" w:bidi="ar-SA"/>
    </w:rPr>
  </w:style>
  <w:style w:type="paragraph" w:styleId="2">
    <w:name w:val="heading 1"/>
    <w:next w:val="1"/>
    <w:link w:val="24"/>
    <w:qFormat/>
    <w:uiPriority w:val="0"/>
    <w:pPr>
      <w:keepNext/>
      <w:keepLines/>
      <w:numPr>
        <w:ilvl w:val="0"/>
        <w:numId w:val="1"/>
      </w:numPr>
      <w:pBdr>
        <w:top w:val="single" w:color="auto" w:sz="12" w:space="3"/>
      </w:pBdr>
      <w:spacing w:before="240" w:after="180" w:line="259" w:lineRule="auto"/>
      <w:outlineLvl w:val="0"/>
    </w:pPr>
    <w:rPr>
      <w:rFonts w:ascii="Arial" w:hAnsi="Arial" w:eastAsia="SimSun" w:cs="Times New Roman"/>
      <w:sz w:val="28"/>
      <w:szCs w:val="28"/>
      <w:lang w:val="en-GB" w:eastAsia="zh-CN" w:bidi="ar-SA"/>
    </w:rPr>
  </w:style>
  <w:style w:type="paragraph" w:styleId="3">
    <w:name w:val="heading 2"/>
    <w:basedOn w:val="2"/>
    <w:next w:val="1"/>
    <w:link w:val="25"/>
    <w:qFormat/>
    <w:uiPriority w:val="0"/>
    <w:pPr>
      <w:numPr>
        <w:ilvl w:val="1"/>
      </w:numPr>
      <w:pBdr>
        <w:top w:val="none" w:color="auto" w:sz="0" w:space="0"/>
      </w:pBdr>
      <w:spacing w:before="180"/>
      <w:outlineLvl w:val="1"/>
    </w:pPr>
    <w:rPr>
      <w:sz w:val="26"/>
    </w:rPr>
  </w:style>
  <w:style w:type="paragraph" w:styleId="4">
    <w:name w:val="heading 3"/>
    <w:basedOn w:val="3"/>
    <w:next w:val="1"/>
    <w:link w:val="26"/>
    <w:qFormat/>
    <w:uiPriority w:val="0"/>
    <w:pPr>
      <w:numPr>
        <w:ilvl w:val="2"/>
      </w:numPr>
      <w:spacing w:before="120"/>
      <w:ind w:left="720"/>
      <w:outlineLvl w:val="2"/>
    </w:pPr>
    <w:rPr>
      <w:sz w:val="24"/>
    </w:rPr>
  </w:style>
  <w:style w:type="paragraph" w:styleId="5">
    <w:name w:val="heading 4"/>
    <w:basedOn w:val="4"/>
    <w:next w:val="1"/>
    <w:link w:val="27"/>
    <w:qFormat/>
    <w:uiPriority w:val="0"/>
    <w:pPr>
      <w:numPr>
        <w:ilvl w:val="3"/>
      </w:numPr>
      <w:outlineLvl w:val="3"/>
    </w:pPr>
    <w:rPr>
      <w:sz w:val="22"/>
    </w:rPr>
  </w:style>
  <w:style w:type="paragraph" w:styleId="6">
    <w:name w:val="heading 5"/>
    <w:basedOn w:val="5"/>
    <w:next w:val="1"/>
    <w:link w:val="28"/>
    <w:qFormat/>
    <w:uiPriority w:val="0"/>
    <w:pPr>
      <w:numPr>
        <w:ilvl w:val="4"/>
      </w:numPr>
      <w:outlineLvl w:val="4"/>
    </w:pPr>
    <w:rPr>
      <w:sz w:val="20"/>
    </w:rPr>
  </w:style>
  <w:style w:type="paragraph" w:styleId="7">
    <w:name w:val="heading 6"/>
    <w:basedOn w:val="1"/>
    <w:next w:val="1"/>
    <w:link w:val="29"/>
    <w:qFormat/>
    <w:uiPriority w:val="0"/>
    <w:pPr>
      <w:keepNext/>
      <w:keepLines/>
      <w:numPr>
        <w:ilvl w:val="5"/>
        <w:numId w:val="1"/>
      </w:numPr>
      <w:spacing w:before="120"/>
      <w:outlineLvl w:val="5"/>
    </w:pPr>
    <w:rPr>
      <w:rFonts w:ascii="Arial" w:hAnsi="Arial"/>
    </w:rPr>
  </w:style>
  <w:style w:type="paragraph" w:styleId="8">
    <w:name w:val="heading 7"/>
    <w:basedOn w:val="1"/>
    <w:next w:val="1"/>
    <w:link w:val="30"/>
    <w:qFormat/>
    <w:uiPriority w:val="0"/>
    <w:pPr>
      <w:keepNext/>
      <w:keepLines/>
      <w:numPr>
        <w:ilvl w:val="6"/>
        <w:numId w:val="1"/>
      </w:numPr>
      <w:spacing w:before="120"/>
      <w:outlineLvl w:val="6"/>
    </w:pPr>
    <w:rPr>
      <w:rFonts w:ascii="Arial" w:hAnsi="Arial"/>
    </w:rPr>
  </w:style>
  <w:style w:type="paragraph" w:styleId="9">
    <w:name w:val="heading 8"/>
    <w:basedOn w:val="2"/>
    <w:next w:val="1"/>
    <w:link w:val="31"/>
    <w:qFormat/>
    <w:uiPriority w:val="0"/>
    <w:pPr>
      <w:numPr>
        <w:ilvl w:val="7"/>
      </w:numPr>
      <w:outlineLvl w:val="7"/>
    </w:pPr>
  </w:style>
  <w:style w:type="paragraph" w:styleId="10">
    <w:name w:val="heading 9"/>
    <w:basedOn w:val="9"/>
    <w:next w:val="1"/>
    <w:link w:val="32"/>
    <w:qFormat/>
    <w:uiPriority w:val="0"/>
    <w:pPr>
      <w:numPr>
        <w:ilvl w:val="8"/>
      </w:numPr>
      <w:outlineLvl w:val="8"/>
    </w:p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6"/>
    <w:semiHidden/>
    <w:unhideWhenUsed/>
    <w:qFormat/>
    <w:uiPriority w:val="99"/>
    <w:pPr>
      <w:spacing w:after="0"/>
    </w:pPr>
    <w:rPr>
      <w:sz w:val="18"/>
      <w:szCs w:val="18"/>
    </w:rPr>
  </w:style>
  <w:style w:type="paragraph" w:styleId="14">
    <w:name w:val="caption"/>
    <w:basedOn w:val="1"/>
    <w:next w:val="1"/>
    <w:qFormat/>
    <w:uiPriority w:val="0"/>
    <w:pPr>
      <w:autoSpaceDE w:val="0"/>
      <w:autoSpaceDN w:val="0"/>
      <w:adjustRightInd w:val="0"/>
      <w:snapToGrid w:val="0"/>
      <w:spacing w:after="120"/>
      <w:jc w:val="center"/>
    </w:pPr>
    <w:rPr>
      <w:b/>
      <w:bCs/>
      <w:lang w:val="en-US"/>
    </w:rPr>
  </w:style>
  <w:style w:type="character" w:styleId="15">
    <w:name w:val="annotation reference"/>
    <w:basedOn w:val="11"/>
    <w:semiHidden/>
    <w:unhideWhenUsed/>
    <w:uiPriority w:val="99"/>
    <w:rPr>
      <w:sz w:val="16"/>
      <w:szCs w:val="16"/>
    </w:rPr>
  </w:style>
  <w:style w:type="paragraph" w:styleId="16">
    <w:name w:val="annotation text"/>
    <w:basedOn w:val="1"/>
    <w:link w:val="54"/>
    <w:semiHidden/>
    <w:unhideWhenUsed/>
    <w:uiPriority w:val="99"/>
    <w:pPr>
      <w:spacing w:line="240" w:lineRule="auto"/>
    </w:pPr>
  </w:style>
  <w:style w:type="paragraph" w:styleId="17">
    <w:name w:val="annotation subject"/>
    <w:basedOn w:val="16"/>
    <w:next w:val="16"/>
    <w:link w:val="55"/>
    <w:semiHidden/>
    <w:unhideWhenUsed/>
    <w:uiPriority w:val="99"/>
    <w:rPr>
      <w:b/>
      <w:bCs/>
    </w:rPr>
  </w:style>
  <w:style w:type="paragraph" w:styleId="18">
    <w:name w:val="Date"/>
    <w:basedOn w:val="1"/>
    <w:next w:val="1"/>
    <w:link w:val="47"/>
    <w:semiHidden/>
    <w:unhideWhenUsed/>
    <w:qFormat/>
    <w:uiPriority w:val="99"/>
    <w:pPr>
      <w:ind w:left="100" w:leftChars="2500"/>
    </w:pPr>
  </w:style>
  <w:style w:type="paragraph" w:styleId="19">
    <w:name w:val="Document Map"/>
    <w:basedOn w:val="1"/>
    <w:link w:val="35"/>
    <w:semiHidden/>
    <w:unhideWhenUsed/>
    <w:qFormat/>
    <w:uiPriority w:val="99"/>
    <w:rPr>
      <w:rFonts w:ascii="SimSun"/>
      <w:sz w:val="18"/>
      <w:szCs w:val="18"/>
    </w:rPr>
  </w:style>
  <w:style w:type="paragraph" w:styleId="20">
    <w:name w:val="footer"/>
    <w:basedOn w:val="1"/>
    <w:link w:val="46"/>
    <w:unhideWhenUsed/>
    <w:qFormat/>
    <w:uiPriority w:val="99"/>
    <w:pPr>
      <w:tabs>
        <w:tab w:val="center" w:pos="4153"/>
        <w:tab w:val="right" w:pos="8306"/>
      </w:tabs>
      <w:snapToGrid w:val="0"/>
    </w:pPr>
    <w:rPr>
      <w:sz w:val="18"/>
      <w:szCs w:val="18"/>
    </w:rPr>
  </w:style>
  <w:style w:type="paragraph" w:styleId="21">
    <w:name w:val="header"/>
    <w:basedOn w:val="1"/>
    <w:link w:val="45"/>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Normal (Web)"/>
    <w:basedOn w:val="1"/>
    <w:unhideWhenUsed/>
    <w:qFormat/>
    <w:uiPriority w:val="99"/>
    <w:pPr>
      <w:spacing w:before="100" w:beforeAutospacing="1" w:after="100" w:afterAutospacing="1"/>
    </w:pPr>
    <w:rPr>
      <w:rFonts w:ascii="SimSun" w:hAnsi="SimSun" w:cs="SimSun"/>
      <w:sz w:val="24"/>
      <w:szCs w:val="24"/>
      <w:lang w:val="en-US" w:eastAsia="zh-CN"/>
    </w:rPr>
  </w:style>
  <w:style w:type="table" w:styleId="2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
    <w:name w:val="Heading 1 Char"/>
    <w:link w:val="2"/>
    <w:uiPriority w:val="0"/>
    <w:rPr>
      <w:rFonts w:ascii="Arial" w:hAnsi="Arial"/>
      <w:sz w:val="28"/>
      <w:szCs w:val="28"/>
      <w:lang w:val="en-GB"/>
    </w:rPr>
  </w:style>
  <w:style w:type="character" w:customStyle="1" w:styleId="25">
    <w:name w:val="Heading 2 Char"/>
    <w:link w:val="3"/>
    <w:uiPriority w:val="0"/>
    <w:rPr>
      <w:rFonts w:ascii="Arial" w:hAnsi="Arial"/>
      <w:sz w:val="26"/>
      <w:szCs w:val="28"/>
      <w:lang w:val="en-GB"/>
    </w:rPr>
  </w:style>
  <w:style w:type="character" w:customStyle="1" w:styleId="26">
    <w:name w:val="Heading 3 Char"/>
    <w:link w:val="4"/>
    <w:uiPriority w:val="0"/>
    <w:rPr>
      <w:rFonts w:ascii="Arial" w:hAnsi="Arial"/>
      <w:sz w:val="24"/>
      <w:szCs w:val="28"/>
      <w:lang w:val="en-GB"/>
    </w:rPr>
  </w:style>
  <w:style w:type="character" w:customStyle="1" w:styleId="27">
    <w:name w:val="Heading 4 Char"/>
    <w:link w:val="5"/>
    <w:qFormat/>
    <w:uiPriority w:val="0"/>
    <w:rPr>
      <w:rFonts w:ascii="Arial" w:hAnsi="Arial"/>
      <w:sz w:val="22"/>
      <w:szCs w:val="28"/>
      <w:lang w:val="en-GB"/>
    </w:rPr>
  </w:style>
  <w:style w:type="character" w:customStyle="1" w:styleId="28">
    <w:name w:val="Heading 5 Char"/>
    <w:link w:val="6"/>
    <w:qFormat/>
    <w:uiPriority w:val="0"/>
    <w:rPr>
      <w:rFonts w:ascii="Arial" w:hAnsi="Arial"/>
      <w:lang w:val="en-GB" w:eastAsia="en-US"/>
    </w:rPr>
  </w:style>
  <w:style w:type="character" w:customStyle="1" w:styleId="29">
    <w:name w:val="Heading 6 Char"/>
    <w:link w:val="7"/>
    <w:qFormat/>
    <w:uiPriority w:val="0"/>
    <w:rPr>
      <w:rFonts w:ascii="Arial" w:hAnsi="Arial"/>
      <w:lang w:val="en-GB" w:eastAsia="en-US"/>
    </w:rPr>
  </w:style>
  <w:style w:type="character" w:customStyle="1" w:styleId="30">
    <w:name w:val="Heading 7 Char"/>
    <w:link w:val="8"/>
    <w:qFormat/>
    <w:uiPriority w:val="0"/>
    <w:rPr>
      <w:rFonts w:ascii="Arial" w:hAnsi="Arial"/>
      <w:lang w:val="en-GB" w:eastAsia="en-US"/>
    </w:rPr>
  </w:style>
  <w:style w:type="character" w:customStyle="1" w:styleId="31">
    <w:name w:val="Heading 8 Char"/>
    <w:link w:val="9"/>
    <w:uiPriority w:val="0"/>
    <w:rPr>
      <w:rFonts w:ascii="Arial" w:hAnsi="Arial"/>
      <w:sz w:val="36"/>
      <w:lang w:val="en-GB" w:eastAsia="en-US"/>
    </w:rPr>
  </w:style>
  <w:style w:type="character" w:customStyle="1" w:styleId="32">
    <w:name w:val="Heading 9 Char"/>
    <w:link w:val="10"/>
    <w:qFormat/>
    <w:uiPriority w:val="0"/>
    <w:rPr>
      <w:rFonts w:ascii="Arial" w:hAnsi="Arial"/>
      <w:sz w:val="36"/>
      <w:lang w:val="en-GB" w:eastAsia="en-US"/>
    </w:rPr>
  </w:style>
  <w:style w:type="paragraph" w:customStyle="1" w:styleId="33">
    <w:name w:val="TAC"/>
    <w:basedOn w:val="1"/>
    <w:link w:val="34"/>
    <w:qFormat/>
    <w:uiPriority w:val="0"/>
    <w:pPr>
      <w:keepNext/>
      <w:keepLines/>
      <w:overflowPunct w:val="0"/>
      <w:autoSpaceDE w:val="0"/>
      <w:autoSpaceDN w:val="0"/>
      <w:adjustRightInd w:val="0"/>
      <w:snapToGrid w:val="0"/>
      <w:spacing w:after="0"/>
      <w:jc w:val="center"/>
      <w:textAlignment w:val="baseline"/>
    </w:pPr>
    <w:rPr>
      <w:rFonts w:ascii="Arial" w:hAnsi="Arial" w:eastAsia="Times New Roman"/>
      <w:sz w:val="18"/>
      <w:lang w:val="en-US" w:eastAsia="en-GB"/>
    </w:rPr>
  </w:style>
  <w:style w:type="character" w:customStyle="1" w:styleId="34">
    <w:name w:val="TAC Char"/>
    <w:link w:val="33"/>
    <w:qFormat/>
    <w:uiPriority w:val="0"/>
    <w:rPr>
      <w:rFonts w:ascii="Arial" w:hAnsi="Arial" w:eastAsia="Times New Roman"/>
      <w:sz w:val="18"/>
      <w:lang w:eastAsia="en-GB"/>
    </w:rPr>
  </w:style>
  <w:style w:type="character" w:customStyle="1" w:styleId="35">
    <w:name w:val="Document Map Char"/>
    <w:link w:val="19"/>
    <w:semiHidden/>
    <w:qFormat/>
    <w:uiPriority w:val="99"/>
    <w:rPr>
      <w:rFonts w:ascii="SimSun" w:hAnsi="Times New Roman"/>
      <w:sz w:val="18"/>
      <w:szCs w:val="18"/>
      <w:lang w:val="en-GB" w:eastAsia="en-US"/>
    </w:rPr>
  </w:style>
  <w:style w:type="character" w:customStyle="1" w:styleId="36">
    <w:name w:val="Balloon Text Char"/>
    <w:link w:val="13"/>
    <w:semiHidden/>
    <w:qFormat/>
    <w:uiPriority w:val="99"/>
    <w:rPr>
      <w:rFonts w:ascii="Times New Roman" w:hAnsi="Times New Roman"/>
      <w:sz w:val="18"/>
      <w:szCs w:val="18"/>
      <w:lang w:val="en-GB" w:eastAsia="en-US"/>
    </w:rPr>
  </w:style>
  <w:style w:type="character" w:customStyle="1" w:styleId="37">
    <w:name w:val="TAL Car"/>
    <w:link w:val="38"/>
    <w:qFormat/>
    <w:locked/>
    <w:uiPriority w:val="0"/>
    <w:rPr>
      <w:rFonts w:ascii="Arial" w:hAnsi="Arial" w:cs="Arial"/>
      <w:sz w:val="18"/>
      <w:szCs w:val="18"/>
      <w:lang w:val="en-GB" w:eastAsia="ja-JP"/>
    </w:rPr>
  </w:style>
  <w:style w:type="paragraph" w:customStyle="1" w:styleId="38">
    <w:name w:val="TAL"/>
    <w:basedOn w:val="1"/>
    <w:link w:val="37"/>
    <w:qFormat/>
    <w:uiPriority w:val="0"/>
    <w:pPr>
      <w:keepNext/>
      <w:keepLines/>
      <w:overflowPunct w:val="0"/>
      <w:autoSpaceDE w:val="0"/>
      <w:autoSpaceDN w:val="0"/>
      <w:adjustRightInd w:val="0"/>
      <w:spacing w:after="0"/>
    </w:pPr>
    <w:rPr>
      <w:rFonts w:ascii="Arial" w:hAnsi="Arial" w:cs="Arial"/>
      <w:sz w:val="18"/>
      <w:szCs w:val="18"/>
      <w:lang w:eastAsia="ja-JP"/>
    </w:rPr>
  </w:style>
  <w:style w:type="paragraph" w:customStyle="1" w:styleId="39">
    <w:name w:val="TAH"/>
    <w:basedOn w:val="1"/>
    <w:link w:val="43"/>
    <w:qFormat/>
    <w:uiPriority w:val="0"/>
    <w:pPr>
      <w:keepNext/>
      <w:keepLines/>
      <w:overflowPunct w:val="0"/>
      <w:autoSpaceDE w:val="0"/>
      <w:autoSpaceDN w:val="0"/>
      <w:adjustRightInd w:val="0"/>
      <w:spacing w:after="0"/>
      <w:jc w:val="center"/>
    </w:pPr>
    <w:rPr>
      <w:rFonts w:ascii="Arial" w:hAnsi="Arial" w:eastAsia="Times New Roman"/>
      <w:b/>
      <w:bCs/>
      <w:sz w:val="18"/>
      <w:szCs w:val="18"/>
      <w:lang w:eastAsia="ja-JP"/>
    </w:rPr>
  </w:style>
  <w:style w:type="character" w:customStyle="1" w:styleId="40">
    <w:name w:val="TH Char"/>
    <w:link w:val="41"/>
    <w:qFormat/>
    <w:locked/>
    <w:uiPriority w:val="0"/>
    <w:rPr>
      <w:rFonts w:ascii="Arial" w:hAnsi="Arial" w:cs="Arial"/>
      <w:b/>
      <w:bCs/>
      <w:lang w:val="en-GB" w:eastAsia="ja-JP"/>
    </w:rPr>
  </w:style>
  <w:style w:type="paragraph" w:customStyle="1" w:styleId="41">
    <w:name w:val="TH"/>
    <w:basedOn w:val="1"/>
    <w:link w:val="40"/>
    <w:qFormat/>
    <w:uiPriority w:val="0"/>
    <w:pPr>
      <w:keepNext/>
      <w:keepLines/>
      <w:overflowPunct w:val="0"/>
      <w:autoSpaceDE w:val="0"/>
      <w:autoSpaceDN w:val="0"/>
      <w:adjustRightInd w:val="0"/>
      <w:spacing w:before="60"/>
      <w:jc w:val="center"/>
    </w:pPr>
    <w:rPr>
      <w:rFonts w:ascii="Arial" w:hAnsi="Arial" w:cs="Arial"/>
      <w:b/>
      <w:bCs/>
      <w:lang w:eastAsia="ja-JP"/>
    </w:rPr>
  </w:style>
  <w:style w:type="paragraph" w:customStyle="1" w:styleId="42">
    <w:name w:val="TAN"/>
    <w:basedOn w:val="38"/>
    <w:link w:val="44"/>
    <w:qFormat/>
    <w:uiPriority w:val="0"/>
    <w:pPr>
      <w:overflowPunct/>
      <w:autoSpaceDE/>
      <w:autoSpaceDN/>
      <w:adjustRightInd/>
      <w:ind w:left="851" w:hanging="851"/>
    </w:pPr>
    <w:rPr>
      <w:rFonts w:cs="Times New Roman"/>
      <w:szCs w:val="20"/>
      <w:lang w:eastAsia="en-US"/>
    </w:rPr>
  </w:style>
  <w:style w:type="character" w:customStyle="1" w:styleId="43">
    <w:name w:val="TAH Car"/>
    <w:link w:val="39"/>
    <w:qFormat/>
    <w:uiPriority w:val="0"/>
    <w:rPr>
      <w:rFonts w:ascii="Arial" w:hAnsi="Arial" w:eastAsia="Times New Roman" w:cs="Arial"/>
      <w:b/>
      <w:bCs/>
      <w:sz w:val="18"/>
      <w:szCs w:val="18"/>
      <w:lang w:val="en-GB" w:eastAsia="ja-JP"/>
    </w:rPr>
  </w:style>
  <w:style w:type="character" w:customStyle="1" w:styleId="44">
    <w:name w:val="TAN Char"/>
    <w:link w:val="42"/>
    <w:qFormat/>
    <w:uiPriority w:val="0"/>
    <w:rPr>
      <w:rFonts w:ascii="Arial" w:hAnsi="Arial" w:cs="Arial"/>
      <w:sz w:val="18"/>
      <w:szCs w:val="18"/>
      <w:lang w:val="en-GB" w:eastAsia="en-US"/>
    </w:rPr>
  </w:style>
  <w:style w:type="character" w:customStyle="1" w:styleId="45">
    <w:name w:val="Header Char"/>
    <w:link w:val="21"/>
    <w:qFormat/>
    <w:uiPriority w:val="99"/>
    <w:rPr>
      <w:rFonts w:ascii="Times New Roman" w:hAnsi="Times New Roman"/>
      <w:sz w:val="18"/>
      <w:szCs w:val="18"/>
      <w:lang w:val="en-GB" w:eastAsia="en-US"/>
    </w:rPr>
  </w:style>
  <w:style w:type="character" w:customStyle="1" w:styleId="46">
    <w:name w:val="Footer Char"/>
    <w:link w:val="20"/>
    <w:qFormat/>
    <w:uiPriority w:val="99"/>
    <w:rPr>
      <w:rFonts w:ascii="Times New Roman" w:hAnsi="Times New Roman"/>
      <w:sz w:val="18"/>
      <w:szCs w:val="18"/>
      <w:lang w:val="en-GB" w:eastAsia="en-US"/>
    </w:rPr>
  </w:style>
  <w:style w:type="character" w:customStyle="1" w:styleId="47">
    <w:name w:val="Date Char"/>
    <w:link w:val="18"/>
    <w:semiHidden/>
    <w:qFormat/>
    <w:uiPriority w:val="99"/>
    <w:rPr>
      <w:rFonts w:ascii="Times New Roman" w:hAnsi="Times New Roman"/>
      <w:lang w:val="en-GB" w:eastAsia="en-US"/>
    </w:rPr>
  </w:style>
  <w:style w:type="paragraph" w:styleId="48">
    <w:name w:val="List Paragraph"/>
    <w:basedOn w:val="1"/>
    <w:link w:val="50"/>
    <w:qFormat/>
    <w:uiPriority w:val="99"/>
    <w:pPr>
      <w:numPr>
        <w:ilvl w:val="1"/>
        <w:numId w:val="2"/>
      </w:numPr>
      <w:ind w:left="1080"/>
    </w:pPr>
    <w:rPr>
      <w:lang w:eastAsia="zh-CN"/>
    </w:rPr>
  </w:style>
  <w:style w:type="character" w:customStyle="1" w:styleId="49">
    <w:name w:val="texhtml"/>
    <w:basedOn w:val="11"/>
    <w:uiPriority w:val="0"/>
  </w:style>
  <w:style w:type="character" w:customStyle="1" w:styleId="50">
    <w:name w:val="List Paragraph Char"/>
    <w:link w:val="48"/>
    <w:qFormat/>
    <w:locked/>
    <w:uiPriority w:val="34"/>
    <w:rPr>
      <w:rFonts w:ascii="Times New Roman" w:hAnsi="Times New Roman"/>
      <w:sz w:val="22"/>
      <w:lang w:val="en-GB"/>
    </w:rPr>
  </w:style>
  <w:style w:type="table" w:customStyle="1" w:styleId="51">
    <w:name w:val="Table Grid1"/>
    <w:basedOn w:val="12"/>
    <w:qFormat/>
    <w:uiPriority w:val="39"/>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
    <w:name w:val="Revision1"/>
    <w:hidden/>
    <w:semiHidden/>
    <w:qFormat/>
    <w:uiPriority w:val="99"/>
    <w:pPr>
      <w:spacing w:after="160" w:line="259" w:lineRule="auto"/>
    </w:pPr>
    <w:rPr>
      <w:rFonts w:ascii="Times New Roman" w:hAnsi="Times New Roman" w:eastAsia="SimSun" w:cs="Times New Roman"/>
      <w:lang w:val="en-GB" w:eastAsia="en-US" w:bidi="ar-SA"/>
    </w:rPr>
  </w:style>
  <w:style w:type="paragraph" w:customStyle="1" w:styleId="53">
    <w:name w:val="Revision2"/>
    <w:hidden/>
    <w:semiHidden/>
    <w:uiPriority w:val="99"/>
    <w:rPr>
      <w:rFonts w:ascii="Times New Roman" w:hAnsi="Times New Roman" w:eastAsia="SimSun" w:cs="Times New Roman"/>
      <w:lang w:val="en-GB" w:eastAsia="en-US" w:bidi="ar-SA"/>
    </w:rPr>
  </w:style>
  <w:style w:type="character" w:customStyle="1" w:styleId="54">
    <w:name w:val="Comment Text Char"/>
    <w:basedOn w:val="11"/>
    <w:link w:val="16"/>
    <w:semiHidden/>
    <w:uiPriority w:val="99"/>
    <w:rPr>
      <w:rFonts w:ascii="Times New Roman" w:hAnsi="Times New Roman"/>
      <w:lang w:val="en-GB" w:eastAsia="en-US"/>
    </w:rPr>
  </w:style>
  <w:style w:type="character" w:customStyle="1" w:styleId="55">
    <w:name w:val="Comment Subject Char"/>
    <w:basedOn w:val="54"/>
    <w:link w:val="17"/>
    <w:semiHidden/>
    <w:uiPriority w:val="99"/>
    <w:rPr>
      <w:rFonts w:ascii="Times New Roman" w:hAnsi="Times New Roman"/>
      <w:b/>
      <w:bCs/>
      <w:lang w:val="en-GB" w:eastAsia="en-US"/>
    </w:rPr>
  </w:style>
  <w:style w:type="paragraph" w:customStyle="1" w:styleId="56">
    <w:name w:val="proposal"/>
    <w:basedOn w:val="1"/>
    <w:qFormat/>
    <w:uiPriority w:val="0"/>
    <w:pPr>
      <w:numPr>
        <w:ilvl w:val="0"/>
        <w:numId w:val="3"/>
      </w:numPr>
    </w:pPr>
    <w:rPr>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3</Pages>
  <Words>763</Words>
  <Characters>4354</Characters>
  <Lines>36</Lines>
  <Paragraphs>10</Paragraphs>
  <TotalTime>5</TotalTime>
  <ScaleCrop>false</ScaleCrop>
  <LinksUpToDate>false</LinksUpToDate>
  <CharactersWithSpaces>5107</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2023-01-25T15:54:00Z</dcterms:created>
  <dc:creator>Dai Xizeng</dc:creator>
  <cp:lastModifiedBy>Deep [E///]</cp:lastModifiedBy>
  <dcterms:modified xsi:type="dcterms:W3CDTF">2024-08-09T16:59:29Z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1033-5.7.3.8096</vt:lpwstr>
  </property>
  <property fmtid="{D5CDD505-2E9C-101B-9397-08002B2CF9AE}" pid="22" name="ContentTypeId">
    <vt:lpwstr>0x010100F3E9551B3FDDA24EBF0A209BAAD637CA</vt:lpwstr>
  </property>
  <property fmtid="{D5CDD505-2E9C-101B-9397-08002B2CF9AE}" pid="23" name="MediaServiceImageTags">
    <vt:lpwstr/>
  </property>
</Properties>
</file>